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77E17007"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w:t>
      </w:r>
      <w:r w:rsidR="00A67846">
        <w:rPr>
          <w:rFonts w:cs="Arial"/>
          <w:noProof w:val="0"/>
          <w:sz w:val="22"/>
          <w:szCs w:val="22"/>
          <w:lang w:val="en-US"/>
        </w:rPr>
        <w:t>7</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w:t>
      </w:r>
      <w:r w:rsidR="00D95D3A" w:rsidRPr="00DA6406">
        <w:rPr>
          <w:rFonts w:cs="Arial"/>
          <w:bCs/>
          <w:sz w:val="22"/>
          <w:szCs w:val="22"/>
          <w:lang w:val="en-US"/>
        </w:rPr>
        <w:t>230</w:t>
      </w:r>
      <w:r w:rsidR="00D95D3A">
        <w:rPr>
          <w:rFonts w:cs="Arial"/>
          <w:bCs/>
          <w:sz w:val="22"/>
          <w:szCs w:val="22"/>
          <w:lang w:val="en-US"/>
        </w:rPr>
        <w:t>8</w:t>
      </w:r>
      <w:r w:rsidR="00D242D7">
        <w:rPr>
          <w:rFonts w:cs="Arial"/>
          <w:bCs/>
          <w:sz w:val="22"/>
          <w:szCs w:val="22"/>
          <w:lang w:val="en-US"/>
        </w:rPr>
        <w:t>233</w:t>
      </w:r>
    </w:p>
    <w:p w14:paraId="11DA802A" w14:textId="2F1F205E" w:rsidR="00B97703" w:rsidRDefault="00A67846">
      <w:pPr>
        <w:rPr>
          <w:rFonts w:ascii="Arial" w:hAnsi="Arial" w:cs="Arial"/>
        </w:rPr>
      </w:pPr>
      <w:r>
        <w:rPr>
          <w:rFonts w:ascii="Arial" w:hAnsi="Arial"/>
          <w:b/>
          <w:noProof/>
          <w:sz w:val="22"/>
          <w:szCs w:val="22"/>
        </w:rPr>
        <w:t>May</w:t>
      </w:r>
      <w:r w:rsidR="0061458D">
        <w:rPr>
          <w:rFonts w:ascii="Arial" w:hAnsi="Arial"/>
          <w:b/>
          <w:noProof/>
          <w:sz w:val="22"/>
          <w:szCs w:val="22"/>
        </w:rPr>
        <w:t xml:space="preserve"> </w:t>
      </w:r>
      <w:r>
        <w:rPr>
          <w:rFonts w:ascii="Arial" w:hAnsi="Arial"/>
          <w:b/>
          <w:noProof/>
          <w:sz w:val="22"/>
          <w:szCs w:val="22"/>
        </w:rPr>
        <w:t>22</w:t>
      </w:r>
      <w:r w:rsidR="0061458D">
        <w:rPr>
          <w:rFonts w:ascii="Arial" w:hAnsi="Arial"/>
          <w:b/>
          <w:noProof/>
          <w:sz w:val="22"/>
          <w:szCs w:val="22"/>
        </w:rPr>
        <w:t xml:space="preserve"> – </w:t>
      </w:r>
      <w:r>
        <w:rPr>
          <w:rFonts w:ascii="Arial" w:hAnsi="Arial"/>
          <w:b/>
          <w:noProof/>
          <w:sz w:val="22"/>
          <w:szCs w:val="22"/>
        </w:rPr>
        <w:t>26</w:t>
      </w:r>
      <w:r w:rsidR="0089581E">
        <w:rPr>
          <w:rFonts w:ascii="Arial" w:hAnsi="Arial"/>
          <w:b/>
          <w:noProof/>
          <w:sz w:val="22"/>
          <w:szCs w:val="22"/>
        </w:rPr>
        <w:t xml:space="preserve">, </w:t>
      </w:r>
      <w:r w:rsidR="00A1280F">
        <w:rPr>
          <w:rFonts w:ascii="Arial" w:hAnsi="Arial"/>
          <w:b/>
          <w:noProof/>
          <w:sz w:val="22"/>
          <w:szCs w:val="22"/>
        </w:rPr>
        <w:t>202</w:t>
      </w:r>
      <w:r w:rsidR="0061458D">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Berlin</w:t>
      </w:r>
      <w:r w:rsidR="0061458D">
        <w:rPr>
          <w:rFonts w:ascii="Arial" w:hAnsi="Arial"/>
          <w:b/>
          <w:noProof/>
          <w:sz w:val="22"/>
          <w:szCs w:val="22"/>
        </w:rPr>
        <w:t xml:space="preserve">, </w:t>
      </w:r>
      <w:r>
        <w:rPr>
          <w:rFonts w:ascii="Arial" w:hAnsi="Arial"/>
          <w:b/>
          <w:noProof/>
          <w:sz w:val="22"/>
          <w:szCs w:val="22"/>
        </w:rPr>
        <w:t>Germany</w:t>
      </w:r>
    </w:p>
    <w:p w14:paraId="4CC99763" w14:textId="77777777" w:rsidR="00DD0132" w:rsidRDefault="00DD0132" w:rsidP="004E3939">
      <w:pPr>
        <w:spacing w:after="60"/>
        <w:ind w:left="1985" w:hanging="1985"/>
        <w:rPr>
          <w:rFonts w:ascii="Arial" w:hAnsi="Arial" w:cs="Arial"/>
          <w:b/>
          <w:sz w:val="22"/>
          <w:szCs w:val="22"/>
        </w:rPr>
      </w:pPr>
    </w:p>
    <w:p w14:paraId="18F002BC" w14:textId="58EF27A4"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w:t>
      </w:r>
      <w:r w:rsidR="00A67846">
        <w:rPr>
          <w:rFonts w:ascii="Arial" w:hAnsi="Arial" w:cs="Arial"/>
          <w:b/>
          <w:sz w:val="22"/>
          <w:szCs w:val="22"/>
        </w:rPr>
        <w:t>AMF discovery</w:t>
      </w:r>
      <w:r w:rsidR="00C52FDA">
        <w:rPr>
          <w:rFonts w:ascii="Arial" w:hAnsi="Arial" w:cs="Arial"/>
          <w:b/>
          <w:sz w:val="22"/>
          <w:szCs w:val="22"/>
        </w:rPr>
        <w:t xml:space="preserve"> and subscription</w:t>
      </w:r>
      <w:r w:rsidR="00A67846">
        <w:rPr>
          <w:rFonts w:ascii="Arial" w:hAnsi="Arial" w:cs="Arial"/>
          <w:b/>
          <w:sz w:val="22"/>
          <w:szCs w:val="22"/>
        </w:rPr>
        <w:t xml:space="preserve"> by the TSCTSF</w:t>
      </w:r>
      <w:r w:rsidR="00F070E5" w:rsidRPr="00F070E5">
        <w:rPr>
          <w:rFonts w:ascii="Arial" w:hAnsi="Arial" w:cs="Arial"/>
          <w:b/>
          <w:sz w:val="22"/>
          <w:szCs w:val="22"/>
        </w:rPr>
        <w:t xml:space="preserve">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0278B2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4F10990C"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A67846">
        <w:rPr>
          <w:rFonts w:ascii="Arial" w:hAnsi="Arial" w:cs="Arial"/>
          <w:b/>
          <w:bCs/>
          <w:sz w:val="22"/>
          <w:szCs w:val="22"/>
          <w:lang w:val="sv-SE"/>
        </w:rPr>
        <w:t>CT4</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6" w:name="OLE_LINK45"/>
      <w:bookmarkStart w:id="7"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6"/>
    <w:bookmarkEnd w:id="7"/>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45F38C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p>
    <w:p w14:paraId="15C08314" w14:textId="46DABC77" w:rsidR="00B97703" w:rsidRDefault="000F6242" w:rsidP="00B97703">
      <w:pPr>
        <w:pStyle w:val="Heading1"/>
      </w:pPr>
      <w:r>
        <w:t>1</w:t>
      </w:r>
      <w:r w:rsidR="002F1940">
        <w:tab/>
      </w:r>
      <w:r>
        <w:t>Overall description</w:t>
      </w:r>
    </w:p>
    <w:p w14:paraId="1B16F105" w14:textId="5FC6DC68" w:rsidR="004C3D88" w:rsidRDefault="00AE1BC5" w:rsidP="00DB58A4">
      <w:pPr>
        <w:rPr>
          <w:rFonts w:ascii="Arial" w:hAnsi="Arial" w:cs="Arial"/>
        </w:rPr>
      </w:pPr>
      <w:r w:rsidRPr="004C3D88">
        <w:rPr>
          <w:rFonts w:ascii="Arial" w:hAnsi="Arial" w:cs="Arial"/>
        </w:rPr>
        <w:t xml:space="preserve">SA2 </w:t>
      </w:r>
      <w:r w:rsidR="009075F0">
        <w:rPr>
          <w:rFonts w:ascii="Arial" w:hAnsi="Arial" w:cs="Arial"/>
        </w:rPr>
        <w:t>is discussing</w:t>
      </w:r>
      <w:r w:rsidR="00A67846">
        <w:rPr>
          <w:rFonts w:ascii="Arial" w:hAnsi="Arial" w:cs="Arial"/>
        </w:rPr>
        <w:t xml:space="preserve"> two methods for the TSCTSF to discover AMF to support coverage area filters. </w:t>
      </w:r>
      <w:r w:rsidR="0046104C" w:rsidRPr="0046104C">
        <w:rPr>
          <w:rFonts w:ascii="Arial" w:hAnsi="Arial" w:cs="Arial"/>
        </w:rPr>
        <w:t>The coverage area defines a spatial validity condition for the UE that is resolved at the TSCTSF</w:t>
      </w:r>
      <w:r w:rsidR="0046104C">
        <w:rPr>
          <w:rFonts w:ascii="Arial" w:hAnsi="Arial" w:cs="Arial"/>
        </w:rPr>
        <w:t xml:space="preserve"> subscribing to “UE presence in </w:t>
      </w:r>
      <w:proofErr w:type="spellStart"/>
      <w:r w:rsidR="0046104C">
        <w:rPr>
          <w:rFonts w:ascii="Arial" w:hAnsi="Arial" w:cs="Arial"/>
        </w:rPr>
        <w:t>AoI</w:t>
      </w:r>
      <w:proofErr w:type="spellEnd"/>
      <w:r w:rsidR="0046104C">
        <w:rPr>
          <w:rFonts w:ascii="Arial" w:hAnsi="Arial" w:cs="Arial"/>
        </w:rPr>
        <w:t>” at the AMF</w:t>
      </w:r>
      <w:r w:rsidR="0046104C" w:rsidRPr="0046104C">
        <w:rPr>
          <w:rFonts w:ascii="Arial" w:hAnsi="Arial" w:cs="Arial"/>
        </w:rPr>
        <w:t xml:space="preserve">. </w:t>
      </w:r>
      <w:r w:rsidR="00A67846">
        <w:rPr>
          <w:rFonts w:ascii="Arial" w:hAnsi="Arial" w:cs="Arial"/>
        </w:rPr>
        <w:t xml:space="preserve">The methods the TSCTSF can use </w:t>
      </w:r>
      <w:r w:rsidR="0062664A">
        <w:rPr>
          <w:rFonts w:ascii="Arial" w:hAnsi="Arial" w:cs="Arial"/>
        </w:rPr>
        <w:t xml:space="preserve">to discover and subscribe to the AMF </w:t>
      </w:r>
      <w:r w:rsidR="00A67846">
        <w:rPr>
          <w:rFonts w:ascii="Arial" w:hAnsi="Arial" w:cs="Arial"/>
        </w:rPr>
        <w:t>are as follow</w:t>
      </w:r>
      <w:r w:rsidR="009075F0">
        <w:rPr>
          <w:rFonts w:ascii="Arial" w:hAnsi="Arial" w:cs="Arial"/>
        </w:rPr>
        <w:t>s</w:t>
      </w:r>
      <w:r w:rsidR="00A67846">
        <w:rPr>
          <w:rFonts w:ascii="Arial" w:hAnsi="Arial" w:cs="Arial"/>
        </w:rPr>
        <w:t>:</w:t>
      </w:r>
    </w:p>
    <w:p w14:paraId="77A74062" w14:textId="29AC4E1B" w:rsidR="00A67846" w:rsidRPr="00A67846" w:rsidRDefault="00A67846" w:rsidP="00A67846">
      <w:pPr>
        <w:pStyle w:val="ListParagraph"/>
        <w:numPr>
          <w:ilvl w:val="0"/>
          <w:numId w:val="14"/>
        </w:numPr>
        <w:rPr>
          <w:rFonts w:ascii="Arial" w:hAnsi="Arial" w:cs="Arial"/>
        </w:rPr>
      </w:pPr>
      <w:r w:rsidRPr="00A67846">
        <w:rPr>
          <w:rFonts w:ascii="Arial" w:hAnsi="Arial" w:cs="Arial"/>
        </w:rPr>
        <w:t xml:space="preserve">discover the AMF(s) serving the list of TA(s) that comprise the spatial validity using the NRF </w:t>
      </w:r>
      <w:bookmarkStart w:id="8" w:name="_Hlk131777760"/>
      <w:r w:rsidRPr="00A67846">
        <w:rPr>
          <w:rFonts w:ascii="Arial" w:hAnsi="Arial" w:cs="Arial"/>
        </w:rPr>
        <w:t xml:space="preserve">and </w:t>
      </w:r>
      <w:bookmarkEnd w:id="8"/>
      <w:r w:rsidRPr="00A67846">
        <w:rPr>
          <w:rFonts w:ascii="Arial" w:hAnsi="Arial" w:cs="Arial"/>
        </w:rPr>
        <w:t xml:space="preserve">subscribes to the discovered AMF(s) to receive notifications about presence of any UE </w:t>
      </w:r>
      <w:r w:rsidR="00F1724D">
        <w:rPr>
          <w:rFonts w:ascii="Arial" w:hAnsi="Arial" w:cs="Arial"/>
        </w:rPr>
        <w:t xml:space="preserve">and list of UE(s) </w:t>
      </w:r>
      <w:r w:rsidRPr="00A67846">
        <w:rPr>
          <w:rFonts w:ascii="Arial" w:hAnsi="Arial" w:cs="Arial"/>
        </w:rPr>
        <w:t>in an Area of Interest events (as described in clause 5.3.4.4 of TS 23.501).</w:t>
      </w:r>
      <w:r w:rsidR="00F1724D">
        <w:rPr>
          <w:rFonts w:ascii="Arial" w:hAnsi="Arial" w:cs="Arial"/>
        </w:rPr>
        <w:t xml:space="preserve"> It is required that the subscribed event</w:t>
      </w:r>
      <w:r w:rsidR="00931E05">
        <w:rPr>
          <w:rFonts w:ascii="Arial" w:hAnsi="Arial" w:cs="Arial"/>
        </w:rPr>
        <w:t xml:space="preserve"> remain</w:t>
      </w:r>
      <w:r w:rsidR="00F1724D">
        <w:rPr>
          <w:rFonts w:ascii="Arial" w:hAnsi="Arial" w:cs="Arial"/>
        </w:rPr>
        <w:t xml:space="preserve"> </w:t>
      </w:r>
      <w:r w:rsidR="00D242D7">
        <w:rPr>
          <w:rFonts w:ascii="Arial" w:hAnsi="Arial" w:cs="Arial"/>
        </w:rPr>
        <w:t>associated</w:t>
      </w:r>
      <w:r w:rsidR="00F1724D">
        <w:rPr>
          <w:rFonts w:ascii="Arial" w:hAnsi="Arial" w:cs="Arial"/>
        </w:rPr>
        <w:t xml:space="preserve"> to </w:t>
      </w:r>
      <w:r w:rsidR="00931E05">
        <w:rPr>
          <w:rFonts w:ascii="Arial" w:hAnsi="Arial" w:cs="Arial"/>
        </w:rPr>
        <w:t xml:space="preserve">the </w:t>
      </w:r>
      <w:r w:rsidR="00F1724D">
        <w:rPr>
          <w:rFonts w:ascii="Arial" w:hAnsi="Arial" w:cs="Arial"/>
        </w:rPr>
        <w:t>AMF</w:t>
      </w:r>
      <w:r w:rsidR="00931E05">
        <w:rPr>
          <w:rFonts w:ascii="Arial" w:hAnsi="Arial" w:cs="Arial"/>
        </w:rPr>
        <w:t xml:space="preserve"> even if it is does not serve a given UE</w:t>
      </w:r>
      <w:r w:rsidR="00F1724D">
        <w:rPr>
          <w:rFonts w:ascii="Arial" w:hAnsi="Arial" w:cs="Arial"/>
        </w:rPr>
        <w:t>.</w:t>
      </w:r>
      <w:r w:rsidRPr="00A67846">
        <w:rPr>
          <w:rFonts w:ascii="Arial" w:hAnsi="Arial" w:cs="Arial"/>
        </w:rPr>
        <w:t xml:space="preserve"> </w:t>
      </w:r>
      <w:r w:rsidR="00927C00">
        <w:rPr>
          <w:rFonts w:ascii="Arial" w:hAnsi="Arial" w:cs="Arial"/>
        </w:rPr>
        <w:t>It is required that the subscribed event applies only to the list of UEs in the subscribe request.</w:t>
      </w:r>
      <w:r w:rsidR="00927C00" w:rsidRPr="00A67846">
        <w:rPr>
          <w:rFonts w:ascii="Arial" w:hAnsi="Arial" w:cs="Arial"/>
        </w:rPr>
        <w:t xml:space="preserve"> </w:t>
      </w:r>
      <w:r w:rsidRPr="00A67846">
        <w:rPr>
          <w:rFonts w:ascii="Arial" w:hAnsi="Arial" w:cs="Arial"/>
        </w:rPr>
        <w:t>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 (or)</w:t>
      </w:r>
    </w:p>
    <w:p w14:paraId="0D49B8F7" w14:textId="523D28B1" w:rsidR="00A67846" w:rsidRPr="00A67846" w:rsidRDefault="00A67846" w:rsidP="00A67846">
      <w:pPr>
        <w:pStyle w:val="ListParagraph"/>
        <w:numPr>
          <w:ilvl w:val="0"/>
          <w:numId w:val="14"/>
        </w:numPr>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w:t>
      </w:r>
    </w:p>
    <w:p w14:paraId="3B1FC4F2" w14:textId="33EF0604"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w:t>
      </w:r>
      <w:r w:rsidR="00D95D3A">
        <w:rPr>
          <w:rFonts w:ascii="Arial" w:hAnsi="Arial" w:cs="Arial"/>
          <w:b/>
          <w:bCs/>
          <w:lang w:val="en-US"/>
        </w:rPr>
        <w:t>There were concerns related to</w:t>
      </w:r>
      <w:r w:rsidR="006B6C3D">
        <w:rPr>
          <w:rFonts w:ascii="Arial" w:hAnsi="Arial" w:cs="Arial"/>
          <w:b/>
          <w:bCs/>
          <w:lang w:val="en-US"/>
        </w:rPr>
        <w:t xml:space="preserve"> excessive signaling</w:t>
      </w:r>
      <w:r w:rsidR="00D95D3A">
        <w:rPr>
          <w:rFonts w:ascii="Arial" w:hAnsi="Arial" w:cs="Arial"/>
          <w:b/>
          <w:bCs/>
          <w:lang w:val="en-US"/>
        </w:rPr>
        <w:t xml:space="preserve"> and failure issues thus </w:t>
      </w:r>
      <w:r w:rsidRPr="00DA6406">
        <w:rPr>
          <w:rFonts w:ascii="Arial" w:hAnsi="Arial" w:cs="Arial"/>
          <w:b/>
          <w:bCs/>
          <w:lang w:val="en-US"/>
        </w:rPr>
        <w:t xml:space="preserve">SA2 would like to kindly request </w:t>
      </w:r>
      <w:r w:rsidR="00A67846">
        <w:rPr>
          <w:rFonts w:ascii="Arial" w:hAnsi="Arial" w:cs="Arial"/>
          <w:b/>
          <w:bCs/>
          <w:lang w:val="en-US"/>
        </w:rPr>
        <w:t>CT4</w:t>
      </w:r>
      <w:r w:rsidR="000E1F79" w:rsidRPr="00DA6406">
        <w:rPr>
          <w:rFonts w:ascii="Arial" w:hAnsi="Arial" w:cs="Arial"/>
          <w:b/>
          <w:bCs/>
          <w:lang w:val="en-US"/>
        </w:rPr>
        <w:t xml:space="preserve"> to </w:t>
      </w:r>
      <w:r w:rsidR="0007096F" w:rsidRPr="00DA6406">
        <w:rPr>
          <w:rFonts w:ascii="Arial" w:hAnsi="Arial" w:cs="Arial"/>
          <w:b/>
          <w:bCs/>
          <w:lang w:val="en-US"/>
        </w:rPr>
        <w:t>provide fe</w:t>
      </w:r>
      <w:r w:rsidR="009075F0">
        <w:rPr>
          <w:rFonts w:ascii="Arial" w:hAnsi="Arial" w:cs="Arial"/>
          <w:b/>
          <w:bCs/>
          <w:lang w:val="en-US"/>
        </w:rPr>
        <w:t>edback regarding the two methods from stage 3 perspective</w:t>
      </w:r>
      <w:r w:rsidR="000E1F79" w:rsidRPr="00DA6406">
        <w:rPr>
          <w:rFonts w:ascii="Arial" w:hAnsi="Arial" w:cs="Arial"/>
          <w:b/>
          <w:bCs/>
          <w:lang w:val="en-US"/>
        </w:rPr>
        <w:t>.</w:t>
      </w:r>
    </w:p>
    <w:p w14:paraId="757AF18E" w14:textId="14983030" w:rsidR="000A209B" w:rsidRPr="00AE1BC5" w:rsidRDefault="000A209B" w:rsidP="00DB58A4">
      <w:pPr>
        <w:rPr>
          <w:rFonts w:ascii="Arial" w:hAnsi="Arial" w:cs="Arial"/>
        </w:rPr>
      </w:pPr>
    </w:p>
    <w:p w14:paraId="0E68466A" w14:textId="77777777" w:rsidR="00B97703" w:rsidRDefault="002F1940" w:rsidP="000F6242">
      <w:pPr>
        <w:pStyle w:val="Heading1"/>
      </w:pPr>
      <w:r>
        <w:t>2</w:t>
      </w:r>
      <w:r>
        <w:tab/>
      </w:r>
      <w:r w:rsidR="000F6242">
        <w:t>Actions</w:t>
      </w:r>
    </w:p>
    <w:p w14:paraId="707B8CAD" w14:textId="6F604A03" w:rsidR="00026397" w:rsidRDefault="00026397" w:rsidP="00026397">
      <w:pPr>
        <w:spacing w:after="120"/>
        <w:ind w:left="1985" w:hanging="1985"/>
        <w:rPr>
          <w:rFonts w:ascii="Arial" w:hAnsi="Arial" w:cs="Arial"/>
          <w:b/>
        </w:rPr>
      </w:pPr>
      <w:r>
        <w:rPr>
          <w:rFonts w:ascii="Arial" w:hAnsi="Arial" w:cs="Arial"/>
          <w:b/>
        </w:rPr>
        <w:t xml:space="preserve">To </w:t>
      </w:r>
      <w:r w:rsidR="002647F4">
        <w:rPr>
          <w:rFonts w:ascii="Arial" w:hAnsi="Arial" w:cs="Arial"/>
          <w:b/>
        </w:rPr>
        <w:t>CT4</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4C4A8AAE"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w:t>
      </w:r>
      <w:r w:rsidR="002647F4">
        <w:rPr>
          <w:rFonts w:ascii="Arial" w:hAnsi="Arial" w:cs="Arial"/>
          <w:bCs/>
        </w:rPr>
        <w:t>8</w:t>
      </w:r>
      <w:r w:rsidRPr="00A97CBC">
        <w:rPr>
          <w:rFonts w:ascii="Arial" w:hAnsi="Arial" w:cs="Arial"/>
          <w:bCs/>
        </w:rPr>
        <w:t xml:space="preserve">   </w:t>
      </w:r>
      <w:r w:rsidR="002647F4">
        <w:rPr>
          <w:rFonts w:ascii="Arial" w:hAnsi="Arial" w:cs="Arial"/>
          <w:bCs/>
        </w:rPr>
        <w:t>August</w:t>
      </w:r>
      <w:r w:rsidRPr="00A97CBC">
        <w:rPr>
          <w:rFonts w:ascii="Arial" w:hAnsi="Arial" w:cs="Arial"/>
          <w:bCs/>
        </w:rPr>
        <w:t xml:space="preserve"> 2</w:t>
      </w:r>
      <w:r w:rsidR="002647F4">
        <w:rPr>
          <w:rFonts w:ascii="Arial" w:hAnsi="Arial" w:cs="Arial"/>
          <w:bCs/>
        </w:rPr>
        <w:t>1</w:t>
      </w:r>
      <w:r w:rsidRPr="00A97CBC">
        <w:rPr>
          <w:rFonts w:ascii="Arial" w:hAnsi="Arial" w:cs="Arial"/>
          <w:bCs/>
        </w:rPr>
        <w:t xml:space="preserve"> – 2</w:t>
      </w:r>
      <w:r w:rsidR="002647F4">
        <w:rPr>
          <w:rFonts w:ascii="Arial" w:hAnsi="Arial" w:cs="Arial"/>
          <w:bCs/>
        </w:rPr>
        <w:t>5</w:t>
      </w:r>
      <w:r w:rsidRPr="00A97CBC">
        <w:rPr>
          <w:rFonts w:ascii="Arial" w:hAnsi="Arial" w:cs="Arial"/>
          <w:bCs/>
        </w:rPr>
        <w:t>, 202</w:t>
      </w:r>
      <w:r w:rsidR="00C3457A">
        <w:rPr>
          <w:rFonts w:ascii="Arial" w:hAnsi="Arial" w:cs="Arial"/>
          <w:bCs/>
        </w:rPr>
        <w:t>3</w:t>
      </w:r>
      <w:r w:rsidRPr="00A97CBC">
        <w:rPr>
          <w:rFonts w:ascii="Arial" w:hAnsi="Arial" w:cs="Arial"/>
          <w:bCs/>
        </w:rPr>
        <w:t xml:space="preserve"> </w:t>
      </w:r>
      <w:r w:rsidRPr="00A97CBC">
        <w:rPr>
          <w:rFonts w:ascii="Arial" w:hAnsi="Arial" w:cs="Arial"/>
          <w:bCs/>
        </w:rPr>
        <w:tab/>
      </w:r>
      <w:r w:rsidR="002647F4">
        <w:rPr>
          <w:rFonts w:ascii="Arial" w:hAnsi="Arial" w:cs="Arial"/>
          <w:bCs/>
        </w:rPr>
        <w:t>Goteborg</w:t>
      </w:r>
      <w:r w:rsidRPr="00A97CBC">
        <w:rPr>
          <w:rFonts w:ascii="Arial" w:hAnsi="Arial" w:cs="Arial"/>
          <w:bCs/>
        </w:rPr>
        <w:t xml:space="preserve">, </w:t>
      </w:r>
      <w:r w:rsidR="002647F4">
        <w:rPr>
          <w:rFonts w:ascii="Arial" w:hAnsi="Arial" w:cs="Arial"/>
          <w:bCs/>
        </w:rPr>
        <w:t>Sweden</w:t>
      </w:r>
    </w:p>
    <w:p w14:paraId="1F71238C" w14:textId="306BDD58"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2647F4">
        <w:rPr>
          <w:rFonts w:ascii="Arial" w:hAnsi="Arial" w:cs="Arial"/>
          <w:bCs/>
        </w:rPr>
        <w:t>9</w:t>
      </w:r>
      <w:r w:rsidR="00F77D1A">
        <w:rPr>
          <w:rFonts w:ascii="Arial" w:hAnsi="Arial" w:cs="Arial"/>
          <w:bCs/>
        </w:rPr>
        <w:t xml:space="preserve">   </w:t>
      </w:r>
      <w:r w:rsidR="002647F4">
        <w:rPr>
          <w:rFonts w:ascii="Arial" w:hAnsi="Arial" w:cs="Arial"/>
          <w:bCs/>
        </w:rPr>
        <w:t>October</w:t>
      </w:r>
      <w:r w:rsidR="00C3457A">
        <w:rPr>
          <w:rFonts w:ascii="Arial" w:hAnsi="Arial" w:cs="Arial"/>
          <w:bCs/>
        </w:rPr>
        <w:t xml:space="preserve"> </w:t>
      </w:r>
      <w:r w:rsidR="002647F4">
        <w:rPr>
          <w:rFonts w:ascii="Arial" w:hAnsi="Arial" w:cs="Arial"/>
          <w:bCs/>
        </w:rPr>
        <w:t>21</w:t>
      </w:r>
      <w:r w:rsidR="00C3457A">
        <w:rPr>
          <w:rFonts w:ascii="Arial" w:hAnsi="Arial" w:cs="Arial"/>
          <w:bCs/>
        </w:rPr>
        <w:t xml:space="preserve"> -</w:t>
      </w:r>
      <w:r w:rsidR="002647F4">
        <w:rPr>
          <w:rFonts w:ascii="Arial" w:hAnsi="Arial" w:cs="Arial"/>
          <w:bCs/>
        </w:rPr>
        <w:t xml:space="preserve"> 25</w:t>
      </w:r>
      <w:r w:rsidR="00C3457A">
        <w:rPr>
          <w:rFonts w:ascii="Arial" w:hAnsi="Arial" w:cs="Arial"/>
          <w:bCs/>
        </w:rPr>
        <w:t>, 2023</w:t>
      </w:r>
      <w:r w:rsidR="007E0F66">
        <w:rPr>
          <w:rFonts w:ascii="Arial" w:hAnsi="Arial" w:cs="Arial"/>
          <w:bCs/>
        </w:rPr>
        <w:tab/>
      </w:r>
      <w:r w:rsidR="002647F4">
        <w:rPr>
          <w:rFonts w:ascii="Arial" w:hAnsi="Arial" w:cs="Arial"/>
          <w:bCs/>
        </w:rPr>
        <w:t>Xiamen, China</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D2C1" w14:textId="77777777" w:rsidR="003E115E" w:rsidRDefault="003E115E">
      <w:pPr>
        <w:spacing w:after="0"/>
      </w:pPr>
      <w:r>
        <w:separator/>
      </w:r>
    </w:p>
  </w:endnote>
  <w:endnote w:type="continuationSeparator" w:id="0">
    <w:p w14:paraId="46B72EB9" w14:textId="77777777" w:rsidR="003E115E" w:rsidRDefault="003E1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51E0" w14:textId="77777777" w:rsidR="003E115E" w:rsidRDefault="003E115E">
      <w:pPr>
        <w:spacing w:after="0"/>
      </w:pPr>
      <w:r>
        <w:separator/>
      </w:r>
    </w:p>
  </w:footnote>
  <w:footnote w:type="continuationSeparator" w:id="0">
    <w:p w14:paraId="7CCE6CA3" w14:textId="77777777" w:rsidR="003E115E" w:rsidRDefault="003E1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78F0093"/>
    <w:multiLevelType w:val="hybridMultilevel"/>
    <w:tmpl w:val="D812A576"/>
    <w:lvl w:ilvl="0" w:tplc="B316FC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954075">
    <w:abstractNumId w:val="9"/>
  </w:num>
  <w:num w:numId="2" w16cid:durableId="519203383">
    <w:abstractNumId w:val="7"/>
  </w:num>
  <w:num w:numId="3" w16cid:durableId="1244997601">
    <w:abstractNumId w:val="6"/>
  </w:num>
  <w:num w:numId="4" w16cid:durableId="1768959002">
    <w:abstractNumId w:val="3"/>
  </w:num>
  <w:num w:numId="5" w16cid:durableId="457534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6949584">
    <w:abstractNumId w:val="5"/>
  </w:num>
  <w:num w:numId="7" w16cid:durableId="1084494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47987">
    <w:abstractNumId w:val="11"/>
  </w:num>
  <w:num w:numId="9" w16cid:durableId="1901549471">
    <w:abstractNumId w:val="2"/>
  </w:num>
  <w:num w:numId="10" w16cid:durableId="1333335008">
    <w:abstractNumId w:val="8"/>
  </w:num>
  <w:num w:numId="11" w16cid:durableId="263542787">
    <w:abstractNumId w:val="0"/>
  </w:num>
  <w:num w:numId="12" w16cid:durableId="1929607395">
    <w:abstractNumId w:val="1"/>
  </w:num>
  <w:num w:numId="13" w16cid:durableId="407385600">
    <w:abstractNumId w:val="12"/>
  </w:num>
  <w:num w:numId="14" w16cid:durableId="9895572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647F4"/>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115E"/>
    <w:rsid w:val="003E3B55"/>
    <w:rsid w:val="003F371E"/>
    <w:rsid w:val="00401267"/>
    <w:rsid w:val="00401E4A"/>
    <w:rsid w:val="00410F79"/>
    <w:rsid w:val="00423849"/>
    <w:rsid w:val="004241E1"/>
    <w:rsid w:val="0043127A"/>
    <w:rsid w:val="00432D32"/>
    <w:rsid w:val="00433500"/>
    <w:rsid w:val="00433F71"/>
    <w:rsid w:val="004379D1"/>
    <w:rsid w:val="00440D43"/>
    <w:rsid w:val="0046104C"/>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741C5"/>
    <w:rsid w:val="00580AF8"/>
    <w:rsid w:val="00584CC5"/>
    <w:rsid w:val="006002A5"/>
    <w:rsid w:val="00607E6B"/>
    <w:rsid w:val="0061458D"/>
    <w:rsid w:val="0062664A"/>
    <w:rsid w:val="00635D32"/>
    <w:rsid w:val="006510D0"/>
    <w:rsid w:val="006638D0"/>
    <w:rsid w:val="00666FE5"/>
    <w:rsid w:val="00667D64"/>
    <w:rsid w:val="00677C7F"/>
    <w:rsid w:val="0068574D"/>
    <w:rsid w:val="006B17EC"/>
    <w:rsid w:val="006B6C3D"/>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FCD"/>
    <w:rsid w:val="009075F0"/>
    <w:rsid w:val="00911F70"/>
    <w:rsid w:val="00927C00"/>
    <w:rsid w:val="00931E05"/>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67846"/>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52FDA"/>
    <w:rsid w:val="00C63735"/>
    <w:rsid w:val="00C76812"/>
    <w:rsid w:val="00C8284A"/>
    <w:rsid w:val="00C865C1"/>
    <w:rsid w:val="00C975EA"/>
    <w:rsid w:val="00CA091F"/>
    <w:rsid w:val="00CA7161"/>
    <w:rsid w:val="00CB2F79"/>
    <w:rsid w:val="00CC7342"/>
    <w:rsid w:val="00CD11A6"/>
    <w:rsid w:val="00CF6087"/>
    <w:rsid w:val="00D2367A"/>
    <w:rsid w:val="00D242D7"/>
    <w:rsid w:val="00D2722E"/>
    <w:rsid w:val="00D567D4"/>
    <w:rsid w:val="00D72668"/>
    <w:rsid w:val="00D87030"/>
    <w:rsid w:val="00D95D3A"/>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4993"/>
    <w:rsid w:val="00E35004"/>
    <w:rsid w:val="00E4426F"/>
    <w:rsid w:val="00E53266"/>
    <w:rsid w:val="00E75DBF"/>
    <w:rsid w:val="00EB18DD"/>
    <w:rsid w:val="00EC25E1"/>
    <w:rsid w:val="00ED698B"/>
    <w:rsid w:val="00EE715B"/>
    <w:rsid w:val="00F070E5"/>
    <w:rsid w:val="00F1724D"/>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5AIRPNAIUNRU-2028481721-9560</_dlc_DocId>
    <_dlc_DocIdUrl xmlns="71c5aaf6-e6ce-465b-b873-5148d2a4c105">
      <Url>https://nokia.sharepoint.com/sites/c5g/e2earch/_layouts/15/DocIdRedir.aspx?ID=5AIRPNAIUNRU-2028481721-9560</Url>
      <Description>5AIRPNAIUNRU-2028481721-9560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F6524-2B75-4E5F-B61E-3E4B3DC897C7}">
  <ds:schemaRefs>
    <ds:schemaRef ds:uri="Microsoft.SharePoint.Taxonomy.ContentTypeSync"/>
  </ds:schemaRefs>
</ds:datastoreItem>
</file>

<file path=customXml/itemProps2.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customXml/itemProps3.xml><?xml version="1.0" encoding="utf-8"?>
<ds:datastoreItem xmlns:ds="http://schemas.openxmlformats.org/officeDocument/2006/customXml" ds:itemID="{9EBCE610-1CE0-4EC9-8A2A-E1DD44613BB2}">
  <ds:schemaRefs>
    <ds:schemaRef ds:uri="http://schemas.microsoft.com/sharepoint/events"/>
  </ds:schemaRefs>
</ds:datastoreItem>
</file>

<file path=customXml/itemProps4.xml><?xml version="1.0" encoding="utf-8"?>
<ds:datastoreItem xmlns:ds="http://schemas.openxmlformats.org/officeDocument/2006/customXml" ds:itemID="{FFA581FB-44B7-4966-BD50-706877A8177A}">
  <ds:schemaRefs>
    <ds:schemaRef ds:uri="http://schemas.microsoft.com/sharepoint/v3/contenttype/forms"/>
  </ds:schemaRefs>
</ds:datastoreItem>
</file>

<file path=customXml/itemProps5.xml><?xml version="1.0" encoding="utf-8"?>
<ds:datastoreItem xmlns:ds="http://schemas.openxmlformats.org/officeDocument/2006/customXml" ds:itemID="{7CD2249C-E630-4AE7-B64F-817E135D743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6B253D7-6EC7-467D-A7B9-EE3C46B5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416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2023-05-26T06:48:00Z</dcterms:created>
  <dcterms:modified xsi:type="dcterms:W3CDTF">2023-05-26T07:43:00Z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c06bcc72-8f51-42c9-a6af-076bc2d70de4</vt:lpwstr>
  </property>
  <property fmtid="{D5CDD505-2E9C-101B-9397-08002B2CF9AE}" pid="4" name="MediaServiceImageTags">
    <vt:lpwstr/>
  </property>
</Properties>
</file>